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2A" w:rsidRDefault="0005522A" w:rsidP="0005522A">
      <w:pPr>
        <w:pStyle w:val="Nadpis1"/>
        <w:numPr>
          <w:ilvl w:val="0"/>
          <w:numId w:val="0"/>
        </w:numPr>
        <w:ind w:left="567" w:hanging="567"/>
      </w:pPr>
      <w:r w:rsidRPr="00D20858">
        <w:t>PRÁV</w:t>
      </w:r>
      <w:r w:rsidRPr="00D20858">
        <w:rPr>
          <w:b w:val="0"/>
        </w:rPr>
        <w:t>a</w:t>
      </w:r>
      <w:r w:rsidRPr="00D20858">
        <w:t xml:space="preserve"> DOTKNUTEJ OSOBY</w:t>
      </w:r>
      <w:r>
        <w:t xml:space="preserve"> (kapitola 3 GDPR)</w:t>
      </w:r>
      <w:r w:rsidR="00CE614B">
        <w:t>.</w:t>
      </w:r>
      <w:bookmarkStart w:id="0" w:name="_GoBack"/>
      <w:bookmarkEnd w:id="0"/>
    </w:p>
    <w:p w:rsidR="00622EEE" w:rsidRPr="00D20858" w:rsidRDefault="00622EEE" w:rsidP="00622EEE">
      <w:pPr>
        <w:pStyle w:val="BSWWSekcjapodpisw"/>
        <w:numPr>
          <w:ilvl w:val="0"/>
          <w:numId w:val="13"/>
        </w:numPr>
      </w:pPr>
      <w:r w:rsidRPr="00622EEE">
        <w:t>dotknutou osobou</w:t>
      </w:r>
      <w:r>
        <w:t xml:space="preserve"> je</w:t>
      </w:r>
      <w:r w:rsidRPr="00D20858">
        <w:t xml:space="preserve"> každá fyzická osoba, kt</w:t>
      </w:r>
      <w:r>
        <w:t>orej osobné údaje sa spracúvajú</w:t>
      </w:r>
    </w:p>
    <w:p w:rsidR="006F3F29" w:rsidRPr="006F3F29" w:rsidRDefault="006F3F29" w:rsidP="00622EEE">
      <w:pPr>
        <w:pStyle w:val="Zarkazkladnhotextu"/>
        <w:ind w:left="643"/>
        <w:rPr>
          <w:lang w:eastAsia="sk-SK"/>
        </w:rPr>
      </w:pPr>
    </w:p>
    <w:p w:rsidR="0005522A" w:rsidRPr="00D20858" w:rsidRDefault="0005522A" w:rsidP="0005522A">
      <w:r w:rsidRPr="00D20858">
        <w:t>Práva dotknutej</w:t>
      </w:r>
      <w:r>
        <w:t xml:space="preserve"> osoby sú upravené kapitolou 3 GDPR</w:t>
      </w:r>
      <w:r w:rsidRPr="00D20858">
        <w:t xml:space="preserve"> a naša spoločn</w:t>
      </w:r>
      <w:r>
        <w:t>osť sa zaväzuje ich dodržiavať.</w:t>
      </w:r>
      <w:r w:rsidR="0071703A">
        <w:t xml:space="preserve"> </w:t>
      </w:r>
    </w:p>
    <w:p w:rsidR="0005522A" w:rsidRDefault="0005522A" w:rsidP="0005522A">
      <w:r w:rsidRPr="00D20858">
        <w:t>Ide napríklad o nasledovné práva:</w:t>
      </w:r>
    </w:p>
    <w:p w:rsidR="008E44DE" w:rsidRPr="008E44DE" w:rsidRDefault="008E44DE" w:rsidP="008E44DE">
      <w:pPr>
        <w:pStyle w:val="Nadpis2"/>
        <w:numPr>
          <w:ilvl w:val="1"/>
          <w:numId w:val="17"/>
        </w:numPr>
      </w:pPr>
      <w:r w:rsidRPr="008E44DE">
        <w:t>Právo na Právo dotknutej osoby na prístup k údajom (článok 15 GDPR)</w:t>
      </w:r>
    </w:p>
    <w:p w:rsidR="008E44DE" w:rsidRDefault="008E44DE" w:rsidP="008E44DE">
      <w:r>
        <w:t>D</w:t>
      </w:r>
      <w:r w:rsidRPr="00BB3C4F">
        <w:t>otknutá osoba má</w:t>
      </w:r>
      <w:r>
        <w:t xml:space="preserve"> právo získať od našej spoločnosti</w:t>
      </w:r>
      <w:r w:rsidRPr="00BB3C4F">
        <w:t xml:space="preserve"> potvrdenie o tom, či sa spracúvajú osobné údaje, ktoré sa jej týkajú, a ak tomu tak je, má právo získať prístup k týmto osobným údajom</w:t>
      </w:r>
    </w:p>
    <w:p w:rsidR="008E44DE" w:rsidRDefault="008E44DE" w:rsidP="0005522A"/>
    <w:p w:rsidR="0005522A" w:rsidRPr="008E44DE" w:rsidRDefault="0005522A" w:rsidP="008E44DE">
      <w:pPr>
        <w:pStyle w:val="BSWWSekcjapodpisw"/>
        <w:numPr>
          <w:ilvl w:val="1"/>
          <w:numId w:val="17"/>
        </w:numPr>
        <w:jc w:val="both"/>
      </w:pPr>
      <w:r w:rsidRPr="008E44DE">
        <w:rPr>
          <w:sz w:val="22"/>
          <w:szCs w:val="22"/>
        </w:rPr>
        <w:t>Informácie, ktoré sa majú poskytovať pri získavaní osobných údajov od dotknutej osoby (článok 13 GDPR</w:t>
      </w:r>
      <w:r w:rsidRPr="008E44DE">
        <w:t>)</w:t>
      </w:r>
    </w:p>
    <w:p w:rsidR="0005522A" w:rsidRDefault="0005522A" w:rsidP="0005522A">
      <w:pPr>
        <w:pStyle w:val="Zarkazkladnhotextu"/>
        <w:ind w:left="0"/>
        <w:rPr>
          <w:lang w:eastAsia="sk-SK"/>
        </w:rPr>
      </w:pPr>
      <w:r>
        <w:rPr>
          <w:lang w:eastAsia="sk-SK"/>
        </w:rPr>
        <w:t>Naša spoločnosť poskytne dotknutej osobe pri spracúvaní osobných údajov nasledovné informácie:</w:t>
      </w:r>
    </w:p>
    <w:p w:rsidR="0005522A" w:rsidRDefault="0005522A" w:rsidP="0005522A">
      <w:pPr>
        <w:pStyle w:val="Odsekzoznamu"/>
        <w:numPr>
          <w:ilvl w:val="0"/>
          <w:numId w:val="4"/>
        </w:numPr>
        <w:rPr>
          <w:lang w:eastAsia="sk-SK"/>
        </w:rPr>
      </w:pPr>
      <w:r>
        <w:t>údaje</w:t>
      </w:r>
      <w:r>
        <w:rPr>
          <w:lang w:eastAsia="sk-SK"/>
        </w:rPr>
        <w:t xml:space="preserve"> o našej spoločnosti</w:t>
      </w:r>
    </w:p>
    <w:p w:rsidR="0005522A" w:rsidRDefault="0005522A" w:rsidP="0005522A">
      <w:pPr>
        <w:pStyle w:val="Odsekzoznamu"/>
        <w:numPr>
          <w:ilvl w:val="0"/>
          <w:numId w:val="4"/>
        </w:numPr>
        <w:rPr>
          <w:lang w:eastAsia="sk-SK"/>
        </w:rPr>
      </w:pPr>
      <w:r>
        <w:t>kontaktné</w:t>
      </w:r>
      <w:r>
        <w:rPr>
          <w:lang w:eastAsia="sk-SK"/>
        </w:rPr>
        <w:t xml:space="preserve"> údaje prípadnej zodpovednej osoby;</w:t>
      </w:r>
    </w:p>
    <w:p w:rsidR="0005522A" w:rsidRDefault="0005522A" w:rsidP="0005522A">
      <w:pPr>
        <w:pStyle w:val="Odsekzoznamu"/>
        <w:numPr>
          <w:ilvl w:val="0"/>
          <w:numId w:val="4"/>
        </w:numPr>
      </w:pPr>
      <w:r>
        <w:t>účely spracúvania</w:t>
      </w:r>
    </w:p>
    <w:p w:rsidR="0005522A" w:rsidRDefault="0005522A" w:rsidP="0005522A">
      <w:pPr>
        <w:pStyle w:val="Odsekzoznamu"/>
        <w:numPr>
          <w:ilvl w:val="0"/>
          <w:numId w:val="4"/>
        </w:numPr>
      </w:pPr>
      <w:r>
        <w:t>právny základ spracúvania</w:t>
      </w:r>
    </w:p>
    <w:p w:rsidR="0005522A" w:rsidRDefault="0005522A" w:rsidP="0005522A">
      <w:pPr>
        <w:pStyle w:val="Odsekzoznamu"/>
        <w:numPr>
          <w:ilvl w:val="0"/>
          <w:numId w:val="4"/>
        </w:numPr>
      </w:pPr>
      <w:r>
        <w:t>ak sa spracúvanie zakladá na článku 6 ods. 1 písm. f) GDPR, oprávnené záujmy, ktoré sleduje prevádzkovateľ alebo tretia strana;</w:t>
      </w:r>
    </w:p>
    <w:p w:rsidR="0005522A" w:rsidRDefault="0005522A" w:rsidP="0005522A">
      <w:pPr>
        <w:pStyle w:val="Odsekzoznamu"/>
        <w:numPr>
          <w:ilvl w:val="0"/>
          <w:numId w:val="4"/>
        </w:numPr>
      </w:pPr>
      <w:r>
        <w:t>príjemcovia alebo kategórie príjemcov osobných údajov, ak existujú;</w:t>
      </w:r>
    </w:p>
    <w:p w:rsidR="0005522A" w:rsidRDefault="0005522A" w:rsidP="0005522A">
      <w:pPr>
        <w:pStyle w:val="Odsekzoznamu"/>
        <w:numPr>
          <w:ilvl w:val="0"/>
          <w:numId w:val="4"/>
        </w:numPr>
      </w:pPr>
      <w:r>
        <w:t>v relevantnom prípade informácia o tom, že naša spoločnosť zamýšľa preniesť osobné údaje do tretej krajiny alebo medzinárodnej organizácii</w:t>
      </w:r>
    </w:p>
    <w:p w:rsidR="0005522A" w:rsidRDefault="0005522A" w:rsidP="0005522A">
      <w:pPr>
        <w:pStyle w:val="Odsekzoznamu"/>
        <w:numPr>
          <w:ilvl w:val="0"/>
          <w:numId w:val="4"/>
        </w:numPr>
      </w:pPr>
      <w:r>
        <w:t>doba uchovávania osobných údajov alebo, ak to nie je možné, kritériá na jej určenie;</w:t>
      </w:r>
    </w:p>
    <w:p w:rsidR="0005522A" w:rsidRDefault="0005522A" w:rsidP="0005522A">
      <w:pPr>
        <w:pStyle w:val="Odsekzoznamu"/>
        <w:numPr>
          <w:ilvl w:val="0"/>
          <w:numId w:val="4"/>
        </w:numPr>
      </w:pPr>
      <w:r>
        <w:t>existencia práva požadovať od prevádzkovateľa prístup k osobným údajom týkajúcim sa dotknutej osoby a práva na ich opravu alebo vymazanie alebo obmedzenie spracúvania, alebo práva namietať proti spracúvaniu, ako aj práva na prenosnosť údajov;</w:t>
      </w:r>
    </w:p>
    <w:p w:rsidR="0005522A" w:rsidRDefault="0005522A" w:rsidP="0005522A">
      <w:pPr>
        <w:pStyle w:val="Odsekzoznamu"/>
        <w:numPr>
          <w:ilvl w:val="0"/>
          <w:numId w:val="4"/>
        </w:numPr>
      </w:pPr>
      <w:r>
        <w:t>ak je spracúvanie založené na článku 6 ods. 1 písm. a) alebo na článku 9 ods. 2 písm. a) GDPR, existencia práva kedykoľvek svoj súhlas odvolať bez toho, aby to malo vplyv na zákonnosť spracúvania založeného na súhlase udelenom pred jeho odvolaním;</w:t>
      </w:r>
    </w:p>
    <w:p w:rsidR="0005522A" w:rsidRDefault="0005522A" w:rsidP="0005522A">
      <w:pPr>
        <w:pStyle w:val="Odsekzoznamu"/>
        <w:numPr>
          <w:ilvl w:val="0"/>
          <w:numId w:val="4"/>
        </w:numPr>
      </w:pPr>
      <w:r>
        <w:t>právo podať sťažnosť dozornému orgánu;</w:t>
      </w:r>
    </w:p>
    <w:p w:rsidR="0005522A" w:rsidRDefault="0005522A" w:rsidP="0005522A">
      <w:pPr>
        <w:pStyle w:val="Odsekzoznamu"/>
        <w:numPr>
          <w:ilvl w:val="0"/>
          <w:numId w:val="4"/>
        </w:numPr>
      </w:pPr>
      <w:r>
        <w:t>informácia o tom, či je poskytovanie osobných údajov zákonnou alebo zmluvnou požiadavkou, alebo požiadavkou, ktorá je potrebná na uzavretie zmluvy, či je dotknutá osoba povinná poskytnúť osobné údaje, ako aj možné následky neposkytnutia takýchto údajov;</w:t>
      </w:r>
    </w:p>
    <w:p w:rsidR="0005522A" w:rsidRDefault="0005522A" w:rsidP="0005522A">
      <w:pPr>
        <w:pStyle w:val="Odsekzoznamu"/>
        <w:numPr>
          <w:ilvl w:val="0"/>
          <w:numId w:val="4"/>
        </w:numPr>
      </w:pPr>
      <w:r>
        <w:lastRenderedPageBreak/>
        <w:t>existencia automatizovaného rozhodovania vrátane profilovania uvedeného v článku 22 ods. 1 a 4 GDPR a aspoň v týchto prípadoch zmysluplné informácie o použitom postupe, ako aj význame a predpokladaných dôsledkoch takéhoto spracúvania pre dotknutú osobu.</w:t>
      </w:r>
    </w:p>
    <w:p w:rsidR="0005522A" w:rsidRDefault="0005522A" w:rsidP="008E44DE">
      <w:pPr>
        <w:pStyle w:val="Nadpis2"/>
        <w:numPr>
          <w:ilvl w:val="1"/>
          <w:numId w:val="17"/>
        </w:numPr>
      </w:pPr>
      <w:r>
        <w:t xml:space="preserve"> Právo dotknutej osoby na prístup k údajom (článok 15 GDPR)</w:t>
      </w:r>
    </w:p>
    <w:p w:rsidR="0005522A" w:rsidRDefault="0005522A" w:rsidP="0005522A">
      <w:r>
        <w:t>D</w:t>
      </w:r>
      <w:r w:rsidRPr="00BB3C4F">
        <w:t>otknutá osoba má</w:t>
      </w:r>
      <w:r w:rsidR="00622EEE">
        <w:t xml:space="preserve"> právo získať od našej spoločnosti</w:t>
      </w:r>
      <w:r w:rsidRPr="00BB3C4F">
        <w:t xml:space="preserve"> potvrdenie o tom, či sa spracúvajú osobné údaje, ktoré sa jej týkajú, a ak tomu tak je, má právo získať prístup k týmto osobným údajom</w:t>
      </w:r>
    </w:p>
    <w:p w:rsidR="0005522A" w:rsidRDefault="0005522A" w:rsidP="008E44DE">
      <w:pPr>
        <w:pStyle w:val="Nadpis2"/>
        <w:numPr>
          <w:ilvl w:val="1"/>
          <w:numId w:val="17"/>
        </w:numPr>
        <w:ind w:left="0" w:firstLine="0"/>
      </w:pPr>
      <w:r>
        <w:t>Právo na opravu (článok 16 GDPR)</w:t>
      </w:r>
    </w:p>
    <w:p w:rsidR="0005522A" w:rsidRDefault="0005522A" w:rsidP="0005522A">
      <w: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05522A" w:rsidRDefault="0005522A" w:rsidP="008E44DE">
      <w:pPr>
        <w:pStyle w:val="Nadpis2"/>
        <w:numPr>
          <w:ilvl w:val="1"/>
          <w:numId w:val="17"/>
        </w:numPr>
        <w:ind w:left="0" w:firstLine="0"/>
      </w:pPr>
      <w:r>
        <w:t>Právo na vymazanie (právo „na zabudnutie“, článok 17 GDPR)</w:t>
      </w:r>
    </w:p>
    <w:p w:rsidR="0005522A" w:rsidRDefault="0005522A" w:rsidP="0005522A">
      <w:pPr>
        <w:pStyle w:val="Odsekzoznamu"/>
        <w:ind w:left="0"/>
      </w:pPr>
      <w:r>
        <w:t>Dotknutá osoba má tiež právo dosiahnuť u prevádzkovateľa bez zbytočného odkladu vymazanie osobných údajov, ktoré sa jej týkajú, a prevádzkovateľ je povinný bez zbytočného odkladu vymazať osobné údaje, ak je splnený niektorý z týchto dôvodov:</w:t>
      </w:r>
    </w:p>
    <w:p w:rsidR="0005522A" w:rsidRDefault="0005522A" w:rsidP="0005522A">
      <w:pPr>
        <w:pStyle w:val="Odsekzoznamu"/>
      </w:pPr>
    </w:p>
    <w:p w:rsidR="0005522A" w:rsidRDefault="0005522A" w:rsidP="0005522A">
      <w:pPr>
        <w:pStyle w:val="Odsekzoznamu"/>
        <w:numPr>
          <w:ilvl w:val="0"/>
          <w:numId w:val="5"/>
        </w:numPr>
        <w:ind w:left="567" w:hanging="567"/>
      </w:pPr>
      <w:r>
        <w:t>osobné údaje už nie sú potrebné na účely, na ktoré sa získavali alebo inak spracúvali;</w:t>
      </w:r>
    </w:p>
    <w:p w:rsidR="0005522A" w:rsidRDefault="0005522A" w:rsidP="0005522A">
      <w:pPr>
        <w:pStyle w:val="Odsekzoznamu"/>
        <w:numPr>
          <w:ilvl w:val="0"/>
          <w:numId w:val="5"/>
        </w:numPr>
        <w:ind w:left="567" w:hanging="567"/>
      </w:pPr>
      <w:r>
        <w:t>dotknutá osoba odvolá súhlas, na základe ktorého sa spracúvanie vykonáva, podľa článku 6 ods. 1 písm. a) alebo článku 9 ods. 2 písm. a), a ak neexistuje iný právny základ pre spracúvanie;</w:t>
      </w:r>
    </w:p>
    <w:p w:rsidR="0005522A" w:rsidRDefault="0005522A" w:rsidP="0005522A">
      <w:pPr>
        <w:pStyle w:val="Odsekzoznamu"/>
        <w:numPr>
          <w:ilvl w:val="0"/>
          <w:numId w:val="5"/>
        </w:numPr>
        <w:ind w:left="567" w:hanging="567"/>
      </w:pPr>
      <w:r>
        <w:t>dotknutá osoba namieta voči spracúvaniu podľa článku 21 ods. 1 a neprevažujú žiadne oprávnené dôvody na spracúvanie alebo dotknutá osoba namieta voči spracúvaniu podľa článku 21 ods. 2;</w:t>
      </w:r>
    </w:p>
    <w:p w:rsidR="0005522A" w:rsidRDefault="0005522A" w:rsidP="0005522A">
      <w:pPr>
        <w:pStyle w:val="Odsekzoznamu"/>
        <w:numPr>
          <w:ilvl w:val="0"/>
          <w:numId w:val="5"/>
        </w:numPr>
        <w:ind w:left="567" w:hanging="567"/>
      </w:pPr>
      <w:r>
        <w:t>osobné údaje sa spracúvali nezákonne;</w:t>
      </w:r>
    </w:p>
    <w:p w:rsidR="0005522A" w:rsidRDefault="0005522A" w:rsidP="0005522A">
      <w:pPr>
        <w:pStyle w:val="Odsekzoznamu"/>
        <w:numPr>
          <w:ilvl w:val="0"/>
          <w:numId w:val="5"/>
        </w:numPr>
        <w:ind w:left="567" w:hanging="567"/>
      </w:pPr>
      <w:r>
        <w:t>osobné údaje musia byť vymazané, aby sa splnila zákonná povinnosť podľa práva Únie alebo práva členského štátu, ktorému prevádzkovateľ podlieha;</w:t>
      </w:r>
    </w:p>
    <w:p w:rsidR="0005522A" w:rsidRDefault="0005522A" w:rsidP="0005522A">
      <w:pPr>
        <w:pStyle w:val="Odsekzoznamu"/>
        <w:numPr>
          <w:ilvl w:val="0"/>
          <w:numId w:val="5"/>
        </w:numPr>
        <w:ind w:left="567" w:hanging="567"/>
      </w:pPr>
      <w:r>
        <w:t>osobné údaje sa získavali v súvislosti s ponukou služieb informačnej spoločnosti podľa článku 8 ods. 1.</w:t>
      </w:r>
    </w:p>
    <w:p w:rsidR="0005522A" w:rsidRDefault="0005522A" w:rsidP="008E44DE">
      <w:pPr>
        <w:pStyle w:val="Nadpis2"/>
        <w:numPr>
          <w:ilvl w:val="1"/>
          <w:numId w:val="17"/>
        </w:numPr>
        <w:ind w:left="0" w:firstLine="0"/>
      </w:pPr>
      <w:r>
        <w:t>Právo na obmedzenie spracúvania (článok 18 GDPR)</w:t>
      </w:r>
    </w:p>
    <w:p w:rsidR="0005522A" w:rsidRDefault="0005522A" w:rsidP="0005522A">
      <w:pPr>
        <w:pStyle w:val="Odsekzoznamu"/>
        <w:ind w:left="0"/>
      </w:pPr>
      <w:r>
        <w:t>Dotknutá osoba má právo na to, aby prevádzkovateľ obmedzil spracúvanie, pokiaľ ide o jeden z týchto prípadov:</w:t>
      </w:r>
    </w:p>
    <w:p w:rsidR="0005522A" w:rsidRDefault="0005522A" w:rsidP="0005522A">
      <w:pPr>
        <w:pStyle w:val="Odsekzoznamu"/>
      </w:pPr>
    </w:p>
    <w:p w:rsidR="0005522A" w:rsidRDefault="0005522A" w:rsidP="0005522A">
      <w:pPr>
        <w:pStyle w:val="Odsekzoznamu"/>
        <w:numPr>
          <w:ilvl w:val="0"/>
          <w:numId w:val="7"/>
        </w:numPr>
        <w:ind w:left="567" w:hanging="567"/>
      </w:pPr>
      <w:r>
        <w:t>dotknutá osoba napadne správnosť osobných údajov, a to počas obdobia umožňujúceho prevádzkovateľovi overiť správnosť osobných údajov;</w:t>
      </w:r>
    </w:p>
    <w:p w:rsidR="0005522A" w:rsidRDefault="0005522A" w:rsidP="0005522A">
      <w:pPr>
        <w:pStyle w:val="Odsekzoznamu"/>
        <w:numPr>
          <w:ilvl w:val="0"/>
          <w:numId w:val="7"/>
        </w:numPr>
        <w:ind w:left="567" w:hanging="567"/>
      </w:pPr>
      <w:r>
        <w:t>spracúvanie je protizákonné a dotknutá osoba namieta proti vymazaniu osobných údajov a žiada namiesto toho obmedzenie ich použitia;</w:t>
      </w:r>
    </w:p>
    <w:p w:rsidR="0005522A" w:rsidRDefault="0005522A" w:rsidP="0005522A">
      <w:pPr>
        <w:pStyle w:val="Odsekzoznamu"/>
        <w:numPr>
          <w:ilvl w:val="0"/>
          <w:numId w:val="7"/>
        </w:numPr>
        <w:ind w:left="567" w:hanging="567"/>
      </w:pPr>
      <w:r>
        <w:t>prevádzkovateľ už nepotrebuje osobné údaje na účely spracúvania, ale potrebuje ich dotknutá osoba na preukázanie, uplatňovanie alebo obhajovanie právnych nárokov;</w:t>
      </w:r>
    </w:p>
    <w:p w:rsidR="0005522A" w:rsidRDefault="0005522A" w:rsidP="0005522A">
      <w:pPr>
        <w:pStyle w:val="Odsekzoznamu"/>
        <w:numPr>
          <w:ilvl w:val="0"/>
          <w:numId w:val="7"/>
        </w:numPr>
        <w:ind w:left="567" w:hanging="567"/>
      </w:pPr>
      <w:r>
        <w:lastRenderedPageBreak/>
        <w:t>dotknutá osoba namietala voči spracúvaniu podľa článku 21 ods. 1, a to až do overenia, či oprávnené dôvody na strane prevádzkovateľa prevažujú nad oprávnenými dôvodmi dotknutej osoby.</w:t>
      </w:r>
    </w:p>
    <w:p w:rsidR="0005522A" w:rsidRDefault="0005522A" w:rsidP="0005522A">
      <w:pPr>
        <w:pStyle w:val="Odsekzoznamu"/>
      </w:pPr>
    </w:p>
    <w:p w:rsidR="0005522A" w:rsidRPr="00D36576" w:rsidRDefault="0005522A" w:rsidP="008E44DE">
      <w:pPr>
        <w:pStyle w:val="Nadpis2"/>
        <w:numPr>
          <w:ilvl w:val="1"/>
          <w:numId w:val="17"/>
        </w:numPr>
      </w:pPr>
      <w:r w:rsidRPr="00D36576">
        <w:t>Oznamovacia povinnosť v súvislosti s opravou alebo vymazaním osobných údajov alebo obmedzením spracúvania (článok 19 GDPR)</w:t>
      </w:r>
    </w:p>
    <w:p w:rsidR="0005522A" w:rsidRDefault="00622EEE" w:rsidP="0005522A">
      <w:pPr>
        <w:pStyle w:val="Odsekzoznamu"/>
        <w:ind w:left="0"/>
      </w:pPr>
      <w:r>
        <w:t>Naša spoločnosť</w:t>
      </w:r>
      <w:r w:rsidR="0005522A">
        <w:t xml:space="preserve"> oznámi každému príjemcovi, ktorému boli osobné údaje poskytnuté, každú opravu alebo vymazanie osobných údajov alebo obmedzenie spracúvania uskutočnené podľa článku 16, článku 17 ods. 1 a článku 18, pokiaľ sa to neukáže ako nemožné alebo si to nevyžaduje neprimerané úsilie. Prevádzkovateľ o týchto príjemcoch informuje dotknutú osobu, ak to dotknutá osoba požaduje.</w:t>
      </w:r>
    </w:p>
    <w:p w:rsidR="0005522A" w:rsidRDefault="0005522A" w:rsidP="008E44DE">
      <w:pPr>
        <w:pStyle w:val="Nadpis2"/>
        <w:numPr>
          <w:ilvl w:val="1"/>
          <w:numId w:val="17"/>
        </w:numPr>
        <w:ind w:left="0" w:firstLine="0"/>
      </w:pPr>
      <w:r>
        <w:t>Právo na prenosnosť údajov (článok 20 GDPR)</w:t>
      </w:r>
    </w:p>
    <w:p w:rsidR="0005522A" w:rsidRDefault="0005522A" w:rsidP="0005522A">
      <w:pPr>
        <w:pStyle w:val="Odsekzoznamu"/>
        <w:ind w:left="0"/>
      </w:pPr>
      <w:r>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w:t>
      </w:r>
    </w:p>
    <w:p w:rsidR="0005522A" w:rsidRDefault="0005522A" w:rsidP="0005522A">
      <w:pPr>
        <w:pStyle w:val="Odsekzoznamu"/>
      </w:pPr>
    </w:p>
    <w:p w:rsidR="0005522A" w:rsidRDefault="0005522A" w:rsidP="0005522A">
      <w:pPr>
        <w:pStyle w:val="Odsekzoznamu"/>
        <w:numPr>
          <w:ilvl w:val="0"/>
          <w:numId w:val="8"/>
        </w:numPr>
        <w:ind w:left="567"/>
      </w:pPr>
      <w:r>
        <w:t>sa spracúvanie zakladá na súhlase podľa článku 6 ods. 1 písm. a) alebo článku 9 ods. 2 písm. a), alebo na zmluve podľa článku 6 ods. 1 písm. b), a</w:t>
      </w:r>
    </w:p>
    <w:p w:rsidR="0005522A" w:rsidRDefault="0005522A" w:rsidP="0005522A">
      <w:pPr>
        <w:pStyle w:val="Odsekzoznamu"/>
        <w:numPr>
          <w:ilvl w:val="0"/>
          <w:numId w:val="8"/>
        </w:numPr>
        <w:ind w:left="567"/>
      </w:pPr>
      <w:r>
        <w:t>ak sa spracúvanie vykonáva automatizovanými prostriedkami.</w:t>
      </w:r>
    </w:p>
    <w:p w:rsidR="0005522A" w:rsidRDefault="0005522A" w:rsidP="0005522A">
      <w:pPr>
        <w:pStyle w:val="Odsekzoznamu"/>
      </w:pPr>
    </w:p>
    <w:p w:rsidR="0005522A" w:rsidRDefault="0005522A" w:rsidP="0005522A">
      <w:pPr>
        <w:pStyle w:val="Odsekzoznamu"/>
        <w:ind w:left="0"/>
      </w:pPr>
      <w:r>
        <w:t>Dotknutá osoba má pri uplatňovaní svojho práva na prenosnosť údajov podľa odseku 1 právo na prenos osobných údajov priamo od jedného prevádzkovateľa druhému prevádzkovateľovi, pokiaľ je to technicky možné.</w:t>
      </w:r>
    </w:p>
    <w:p w:rsidR="0005522A" w:rsidRDefault="0005522A" w:rsidP="008E44DE">
      <w:pPr>
        <w:pStyle w:val="Nadpis2"/>
        <w:numPr>
          <w:ilvl w:val="1"/>
          <w:numId w:val="17"/>
        </w:numPr>
        <w:ind w:left="0" w:firstLine="0"/>
      </w:pPr>
      <w:r>
        <w:t>Právo namietať (článok 21 GDPR)</w:t>
      </w:r>
    </w:p>
    <w:p w:rsidR="0005522A" w:rsidRDefault="0005522A" w:rsidP="0005522A">
      <w:pPr>
        <w:pStyle w:val="Odsekzoznamu"/>
        <w:ind w:left="0"/>
      </w:pPr>
      <w:r>
        <w:t>Dotknutá osoba má právo kedykoľvek namietať z dôvodov týkajúcich sa jej konkrétnej situácie proti spracúvaniu osobných údajov, ktoré sa jej týka, ktoré je vykonávané na základe článku 6 ods. 1 písm. e) alebo f) vrátane namietania proti profilovaniu založenému na uvedených ustanoveniach.</w:t>
      </w:r>
    </w:p>
    <w:p w:rsidR="0005522A" w:rsidRDefault="0005522A" w:rsidP="008F03D2">
      <w:pPr>
        <w:pStyle w:val="Nadpis2"/>
        <w:numPr>
          <w:ilvl w:val="0"/>
          <w:numId w:val="0"/>
        </w:numPr>
      </w:pPr>
      <w:r>
        <w:t>Automatizované individuálne rozhodovanie vrátane profilovania (článok 22 GDPR)</w:t>
      </w:r>
    </w:p>
    <w:p w:rsidR="0005522A" w:rsidRDefault="0005522A" w:rsidP="0005522A">
      <w:r>
        <w:t>Dotknutá osoba má právo na to, aby sa na ňu nevzťahovalo rozhodnutie, ktoré je založené výlučne na automatizovanom spracúvaní, vrátane profilovania, a ktoré má právne účinky, ktoré sa jej týkajú alebo ju podobne významne ovplyvňujú.</w:t>
      </w:r>
    </w:p>
    <w:p w:rsidR="003C7F98" w:rsidRPr="003C7F98" w:rsidRDefault="003C7F98" w:rsidP="008E44DE">
      <w:pPr>
        <w:pStyle w:val="Nadpis2"/>
        <w:numPr>
          <w:ilvl w:val="1"/>
          <w:numId w:val="17"/>
        </w:numPr>
        <w:ind w:left="0" w:firstLine="0"/>
      </w:pPr>
      <w:r w:rsidRPr="003C7F98">
        <w:t>Právo na odvolanie súhlasu dotknutej osoby(článok 7 GDPR)</w:t>
      </w:r>
    </w:p>
    <w:p w:rsidR="003C7F98" w:rsidRDefault="003C7F98" w:rsidP="003C7F98">
      <w:r>
        <w:t>Dotknutá osoba má právo kedykoľvek odvolať svoj súhlas. Odvolanie súhlasu nemá vplyv na zákonnosť spracúvania vychádzajúceho zo súhlasu pred jeho odvolaním. Pred poskytnutím súhlasu musí byť dotknutá osoba o tejto skutočnosti informovaná. Odvolanie súhlasu musí byť také jednoduché ako jeho poskytnutie.</w:t>
      </w:r>
    </w:p>
    <w:p w:rsidR="003C7F98" w:rsidRDefault="003C7F98" w:rsidP="00B17C88">
      <w:pPr>
        <w:pStyle w:val="BSWWSekcjapodpisw"/>
      </w:pPr>
      <w:r>
        <w:lastRenderedPageBreak/>
        <w:t xml:space="preserve"> Odvolanie súhlasu je možné : </w:t>
      </w:r>
    </w:p>
    <w:p w:rsidR="003C7F98" w:rsidRDefault="003C7F98" w:rsidP="003C7F98">
      <w:pPr>
        <w:pStyle w:val="Odsekzoznamu"/>
        <w:numPr>
          <w:ilvl w:val="0"/>
          <w:numId w:val="10"/>
        </w:numPr>
      </w:pPr>
      <w:r>
        <w:t>písomne zaslané na adresu našej spoločnosti</w:t>
      </w:r>
    </w:p>
    <w:p w:rsidR="00FE3A45" w:rsidRDefault="003C7F98" w:rsidP="00622EEE">
      <w:pPr>
        <w:pStyle w:val="Odsekzoznamu"/>
        <w:numPr>
          <w:ilvl w:val="0"/>
          <w:numId w:val="10"/>
        </w:numPr>
      </w:pPr>
      <w:r>
        <w:t>mailom</w:t>
      </w:r>
      <w:r w:rsidR="00622EEE">
        <w:t xml:space="preserve">  na jelasicova</w:t>
      </w:r>
      <w:r w:rsidR="00622EEE" w:rsidRPr="00622EEE">
        <w:t>@</w:t>
      </w:r>
      <w:r w:rsidR="00FE3A45">
        <w:t>a3real.sk</w:t>
      </w:r>
    </w:p>
    <w:p w:rsidR="00FE3A45" w:rsidRDefault="00FE3A45" w:rsidP="00FE3A45">
      <w:pPr>
        <w:pStyle w:val="Odsekzoznamu"/>
      </w:pPr>
    </w:p>
    <w:p w:rsidR="00FE3A45" w:rsidRPr="00D20858" w:rsidRDefault="00FE3A45" w:rsidP="008E44DE">
      <w:pPr>
        <w:pStyle w:val="Nadpis2"/>
        <w:numPr>
          <w:ilvl w:val="1"/>
          <w:numId w:val="17"/>
        </w:numPr>
        <w:ind w:left="0" w:firstLine="0"/>
      </w:pPr>
      <w:r w:rsidRPr="00D20858">
        <w:t xml:space="preserve">Oznámenie porušenia ochrany osobných údajov dozornému orgánu </w:t>
      </w:r>
      <w:r>
        <w:t>(článok 33 a 34 GDPR)</w:t>
      </w:r>
    </w:p>
    <w:p w:rsidR="00FE3A45" w:rsidRDefault="00FE3A45" w:rsidP="00FE3A45">
      <w:bookmarkStart w:id="1" w:name="_Hlk505342641"/>
      <w:r w:rsidRPr="00D20858">
        <w:t xml:space="preserve">V prípade porušenia ochrany osobných údajov </w:t>
      </w:r>
      <w:bookmarkEnd w:id="1"/>
      <w:r w:rsidRPr="00D20858">
        <w:t>naša spoločnosť bez zbytočného odkladu a podľa možnosti najneskôr do 72 hodín po tom, čo sa o tejto skutočnosti dozvedela, oznámi porušenie ochrany o</w:t>
      </w:r>
      <w:r>
        <w:t xml:space="preserve">sobných údajov dozornému orgánu prostredníctvom webovej stránky dozorného orgánu - </w:t>
      </w:r>
      <w:hyperlink r:id="rId5" w:history="1">
        <w:r w:rsidRPr="00E7591D">
          <w:rPr>
            <w:rStyle w:val="Hypertextovprepojenie"/>
          </w:rPr>
          <w:t>https://dataprotection.gov.sk/uoou/dp/dp-breach</w:t>
        </w:r>
      </w:hyperlink>
    </w:p>
    <w:p w:rsidR="00FE3A45" w:rsidRPr="00D20858" w:rsidRDefault="00FE3A45" w:rsidP="00FE3A45">
      <w:r w:rsidRPr="00D20858">
        <w:t>Ak oznámenie nebolo dozornému orgánu predložené do 72 hodín, pripojí sa k nemu zdôvodnenie omeškania.</w:t>
      </w:r>
    </w:p>
    <w:p w:rsidR="00FE3A45" w:rsidRPr="00D20858" w:rsidRDefault="00FE3A45" w:rsidP="00FE3A45"/>
    <w:p w:rsidR="00FE3A45" w:rsidRDefault="00FE3A45" w:rsidP="00622EEE">
      <w:pPr>
        <w:pStyle w:val="BSWWSekcjapodpisw"/>
      </w:pPr>
      <w:r w:rsidRPr="00D20858">
        <w:t>V prípade porušenia ochrany osobných údajov, ktoré pravdepodobne povedie k vysokému riziku pre práva a slobody fyzických osôb, naša spoločnosť bez zbytočného odkladu oznámi porušenie ochrany osobných údajov dotknutej osobe</w:t>
      </w:r>
      <w:r w:rsidR="008E44DE">
        <w:t>.</w:t>
      </w:r>
    </w:p>
    <w:p w:rsidR="003C7F98" w:rsidRDefault="003C7F98" w:rsidP="00622EEE">
      <w:pPr>
        <w:pStyle w:val="BSWWSekcjapodpisw"/>
      </w:pPr>
    </w:p>
    <w:p w:rsidR="003C7F98" w:rsidRPr="003C7F98" w:rsidRDefault="003C7F98" w:rsidP="003C7F98">
      <w:pPr>
        <w:pStyle w:val="Zarkazkladnhotextu"/>
        <w:rPr>
          <w:lang w:eastAsia="sk-SK"/>
        </w:rPr>
      </w:pPr>
    </w:p>
    <w:p w:rsidR="000C17CC" w:rsidRDefault="000C17CC" w:rsidP="0005522A"/>
    <w:sectPr w:rsidR="000C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36C"/>
    <w:multiLevelType w:val="hybridMultilevel"/>
    <w:tmpl w:val="350EB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187DCD"/>
    <w:multiLevelType w:val="hybridMultilevel"/>
    <w:tmpl w:val="FBA21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974867"/>
    <w:multiLevelType w:val="hybridMultilevel"/>
    <w:tmpl w:val="502AC2F2"/>
    <w:lvl w:ilvl="0" w:tplc="72B88240">
      <w:start w:val="1"/>
      <w:numFmt w:val="bullet"/>
      <w:lvlText w:val="-"/>
      <w:lvlJc w:val="left"/>
      <w:pPr>
        <w:ind w:left="643" w:hanging="360"/>
      </w:pPr>
      <w:rPr>
        <w:rFonts w:ascii="Times New Roman" w:eastAsia="Calibri" w:hAnsi="Times New Roman" w:cs="Times New Roman"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3" w15:restartNumberingAfterBreak="0">
    <w:nsid w:val="2FEA7293"/>
    <w:multiLevelType w:val="hybridMultilevel"/>
    <w:tmpl w:val="F1AE4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pStyle w:val="Nadpis2b"/>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BA3E80"/>
    <w:multiLevelType w:val="multilevel"/>
    <w:tmpl w:val="EB409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549A6"/>
    <w:multiLevelType w:val="hybridMultilevel"/>
    <w:tmpl w:val="D30AC176"/>
    <w:lvl w:ilvl="0" w:tplc="35D6B986">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F51997"/>
    <w:multiLevelType w:val="multilevel"/>
    <w:tmpl w:val="CB4CBE4A"/>
    <w:lvl w:ilvl="0">
      <w:start w:val="1"/>
      <w:numFmt w:val="decimal"/>
      <w:lvlText w:val="%1."/>
      <w:lvlJc w:val="left"/>
      <w:pPr>
        <w:ind w:left="420" w:hanging="42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38555CB"/>
    <w:multiLevelType w:val="multilevel"/>
    <w:tmpl w:val="0CF6807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435A86"/>
    <w:multiLevelType w:val="hybridMultilevel"/>
    <w:tmpl w:val="350EB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767609"/>
    <w:multiLevelType w:val="hybridMultilevel"/>
    <w:tmpl w:val="6AF0F6E2"/>
    <w:lvl w:ilvl="0" w:tplc="EB20C9F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680B1C"/>
    <w:multiLevelType w:val="multilevel"/>
    <w:tmpl w:val="D1F8B22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5E95F27"/>
    <w:multiLevelType w:val="hybridMultilevel"/>
    <w:tmpl w:val="2B8E60B0"/>
    <w:lvl w:ilvl="0" w:tplc="2E222D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88578EE"/>
    <w:multiLevelType w:val="hybridMultilevel"/>
    <w:tmpl w:val="F864C334"/>
    <w:lvl w:ilvl="0" w:tplc="41EC5B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9610DC2"/>
    <w:multiLevelType w:val="hybridMultilevel"/>
    <w:tmpl w:val="ECEEF4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7A78F7"/>
    <w:multiLevelType w:val="hybridMultilevel"/>
    <w:tmpl w:val="4A8E8F5A"/>
    <w:lvl w:ilvl="0" w:tplc="4532029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E61973"/>
    <w:multiLevelType w:val="hybridMultilevel"/>
    <w:tmpl w:val="7E806722"/>
    <w:lvl w:ilvl="0" w:tplc="3BB890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7B942C78"/>
    <w:multiLevelType w:val="multilevel"/>
    <w:tmpl w:val="5A04A818"/>
    <w:lvl w:ilvl="0">
      <w:start w:val="1"/>
      <w:numFmt w:val="decimal"/>
      <w:pStyle w:val="Nadpis1"/>
      <w:lvlText w:val="%1."/>
      <w:lvlJc w:val="left"/>
      <w:pPr>
        <w:tabs>
          <w:tab w:val="num" w:pos="567"/>
        </w:tabs>
        <w:ind w:left="567" w:hanging="567"/>
      </w:pPr>
      <w:rPr>
        <w:rFonts w:hint="default"/>
        <w:sz w:val="28"/>
      </w:rPr>
    </w:lvl>
    <w:lvl w:ilvl="1">
      <w:start w:val="1"/>
      <w:numFmt w:val="decimal"/>
      <w:pStyle w:val="Nadpis2"/>
      <w:lvlText w:val="%1.%2."/>
      <w:lvlJc w:val="left"/>
      <w:pPr>
        <w:tabs>
          <w:tab w:val="num" w:pos="1418"/>
        </w:tabs>
        <w:ind w:left="1418" w:hanging="567"/>
      </w:pPr>
      <w:rPr>
        <w:rFonts w:hint="default"/>
        <w:sz w:val="28"/>
      </w:rPr>
    </w:lvl>
    <w:lvl w:ilvl="2">
      <w:start w:val="1"/>
      <w:numFmt w:val="decimal"/>
      <w:pStyle w:val="odsek"/>
      <w:lvlText w:val="%1.%2.%3."/>
      <w:lvlJc w:val="left"/>
      <w:pPr>
        <w:tabs>
          <w:tab w:val="num" w:pos="1134"/>
        </w:tabs>
        <w:ind w:left="1134" w:hanging="1134"/>
      </w:pPr>
      <w:rPr>
        <w:rFonts w:hint="default"/>
      </w:rPr>
    </w:lvl>
    <w:lvl w:ilvl="3">
      <w:start w:val="1"/>
      <w:numFmt w:val="decimal"/>
      <w:pStyle w:val="Pta"/>
      <w:suff w:val="space"/>
      <w:lvlText w:val="%1.%2.%3.%4."/>
      <w:lvlJc w:val="left"/>
      <w:pPr>
        <w:ind w:left="170" w:hanging="1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3"/>
  </w:num>
  <w:num w:numId="3">
    <w:abstractNumId w:val="3"/>
  </w:num>
  <w:num w:numId="4">
    <w:abstractNumId w:val="0"/>
  </w:num>
  <w:num w:numId="5">
    <w:abstractNumId w:val="15"/>
  </w:num>
  <w:num w:numId="6">
    <w:abstractNumId w:val="9"/>
  </w:num>
  <w:num w:numId="7">
    <w:abstractNumId w:val="11"/>
  </w:num>
  <w:num w:numId="8">
    <w:abstractNumId w:val="12"/>
  </w:num>
  <w:num w:numId="9">
    <w:abstractNumId w:val="8"/>
  </w:num>
  <w:num w:numId="10">
    <w:abstractNumId w:val="14"/>
  </w:num>
  <w:num w:numId="11">
    <w:abstractNumId w:val="1"/>
  </w:num>
  <w:num w:numId="12">
    <w:abstractNumId w:val="2"/>
  </w:num>
  <w:num w:numId="13">
    <w:abstractNumId w:val="5"/>
  </w:num>
  <w:num w:numId="14">
    <w:abstractNumId w:val="4"/>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A"/>
    <w:rsid w:val="0005522A"/>
    <w:rsid w:val="000C17CC"/>
    <w:rsid w:val="003C7F98"/>
    <w:rsid w:val="00622EEE"/>
    <w:rsid w:val="006F3F29"/>
    <w:rsid w:val="0071703A"/>
    <w:rsid w:val="008E44DE"/>
    <w:rsid w:val="008F03D2"/>
    <w:rsid w:val="00B17C88"/>
    <w:rsid w:val="00CE614B"/>
    <w:rsid w:val="00FE3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94B8-3E16-4D31-9A4A-9009004E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522A"/>
    <w:pPr>
      <w:jc w:val="both"/>
    </w:pPr>
    <w:rPr>
      <w:rFonts w:ascii="Times New Roman" w:eastAsia="Calibri" w:hAnsi="Times New Roman" w:cs="Times New Roman"/>
      <w:sz w:val="24"/>
    </w:rPr>
  </w:style>
  <w:style w:type="paragraph" w:styleId="Nadpis1">
    <w:name w:val="heading 1"/>
    <w:basedOn w:val="Normlny"/>
    <w:next w:val="Zarkazkladnhotextu"/>
    <w:link w:val="Nadpis1Char"/>
    <w:uiPriority w:val="99"/>
    <w:qFormat/>
    <w:rsid w:val="0005522A"/>
    <w:pPr>
      <w:keepNext/>
      <w:numPr>
        <w:numId w:val="1"/>
      </w:numPr>
      <w:spacing w:before="480" w:after="360" w:line="276" w:lineRule="auto"/>
      <w:outlineLvl w:val="0"/>
    </w:pPr>
    <w:rPr>
      <w:rFonts w:eastAsia="Times New Roman"/>
      <w:b/>
      <w:caps/>
      <w:sz w:val="28"/>
      <w:szCs w:val="20"/>
      <w:lang w:eastAsia="sk-SK"/>
    </w:rPr>
  </w:style>
  <w:style w:type="paragraph" w:styleId="Nadpis2">
    <w:name w:val="heading 2"/>
    <w:basedOn w:val="Normlny"/>
    <w:next w:val="Zarkazkladnhotextu"/>
    <w:link w:val="Nadpis2Char"/>
    <w:uiPriority w:val="99"/>
    <w:qFormat/>
    <w:rsid w:val="0005522A"/>
    <w:pPr>
      <w:keepNext/>
      <w:numPr>
        <w:ilvl w:val="1"/>
        <w:numId w:val="1"/>
      </w:numPr>
      <w:tabs>
        <w:tab w:val="clear" w:pos="1418"/>
        <w:tab w:val="left" w:pos="0"/>
      </w:tabs>
      <w:spacing w:before="240" w:after="240" w:line="276" w:lineRule="auto"/>
      <w:ind w:left="0" w:firstLine="0"/>
      <w:outlineLvl w:val="1"/>
    </w:pPr>
    <w:rPr>
      <w:rFonts w:eastAsia="Times New Roman"/>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5522A"/>
    <w:rPr>
      <w:rFonts w:ascii="Times New Roman" w:eastAsia="Times New Roman" w:hAnsi="Times New Roman" w:cs="Times New Roman"/>
      <w:b/>
      <w:caps/>
      <w:sz w:val="28"/>
      <w:szCs w:val="20"/>
      <w:lang w:eastAsia="sk-SK"/>
    </w:rPr>
  </w:style>
  <w:style w:type="character" w:customStyle="1" w:styleId="Nadpis2Char">
    <w:name w:val="Nadpis 2 Char"/>
    <w:basedOn w:val="Predvolenpsmoodseku"/>
    <w:link w:val="Nadpis2"/>
    <w:uiPriority w:val="99"/>
    <w:rsid w:val="0005522A"/>
    <w:rPr>
      <w:rFonts w:ascii="Times New Roman" w:eastAsia="Times New Roman" w:hAnsi="Times New Roman" w:cs="Times New Roman"/>
      <w:b/>
      <w:sz w:val="24"/>
      <w:szCs w:val="20"/>
      <w:lang w:eastAsia="sk-SK"/>
    </w:rPr>
  </w:style>
  <w:style w:type="paragraph" w:styleId="Odsekzoznamu">
    <w:name w:val="List Paragraph"/>
    <w:basedOn w:val="Normlny"/>
    <w:uiPriority w:val="34"/>
    <w:rsid w:val="0005522A"/>
    <w:pPr>
      <w:ind w:left="720"/>
      <w:contextualSpacing/>
    </w:pPr>
  </w:style>
  <w:style w:type="paragraph" w:styleId="Pta">
    <w:name w:val="footer"/>
    <w:basedOn w:val="Normlny"/>
    <w:link w:val="PtaChar"/>
    <w:rsid w:val="0005522A"/>
    <w:pPr>
      <w:numPr>
        <w:ilvl w:val="3"/>
        <w:numId w:val="1"/>
      </w:numPr>
      <w:tabs>
        <w:tab w:val="center" w:pos="4153"/>
        <w:tab w:val="right" w:pos="8306"/>
      </w:tabs>
      <w:spacing w:before="60" w:after="120" w:line="276" w:lineRule="auto"/>
    </w:pPr>
    <w:rPr>
      <w:rFonts w:eastAsia="Times New Roman"/>
      <w:szCs w:val="20"/>
      <w:lang w:eastAsia="sk-SK"/>
    </w:rPr>
  </w:style>
  <w:style w:type="character" w:customStyle="1" w:styleId="PtaChar">
    <w:name w:val="Päta Char"/>
    <w:basedOn w:val="Predvolenpsmoodseku"/>
    <w:link w:val="Pta"/>
    <w:rsid w:val="0005522A"/>
    <w:rPr>
      <w:rFonts w:ascii="Times New Roman" w:eastAsia="Times New Roman" w:hAnsi="Times New Roman" w:cs="Times New Roman"/>
      <w:sz w:val="24"/>
      <w:szCs w:val="20"/>
      <w:lang w:eastAsia="sk-SK"/>
    </w:rPr>
  </w:style>
  <w:style w:type="paragraph" w:customStyle="1" w:styleId="odsek">
    <w:name w:val="odsek"/>
    <w:basedOn w:val="Normlny"/>
    <w:next w:val="Zarkazkladnhotextu"/>
    <w:rsid w:val="0005522A"/>
    <w:pPr>
      <w:numPr>
        <w:ilvl w:val="2"/>
        <w:numId w:val="1"/>
      </w:numPr>
      <w:spacing w:before="60" w:after="120" w:line="276" w:lineRule="auto"/>
    </w:pPr>
    <w:rPr>
      <w:rFonts w:eastAsia="Times New Roman"/>
      <w:szCs w:val="20"/>
      <w:lang w:eastAsia="sk-SK"/>
    </w:rPr>
  </w:style>
  <w:style w:type="paragraph" w:styleId="Zarkazkladnhotextu">
    <w:name w:val="Body Text Indent"/>
    <w:basedOn w:val="Normlny"/>
    <w:link w:val="ZarkazkladnhotextuChar"/>
    <w:uiPriority w:val="99"/>
    <w:unhideWhenUsed/>
    <w:rsid w:val="0005522A"/>
    <w:pPr>
      <w:spacing w:after="120"/>
      <w:ind w:left="283"/>
    </w:pPr>
  </w:style>
  <w:style w:type="character" w:customStyle="1" w:styleId="ZarkazkladnhotextuChar">
    <w:name w:val="Zarážka základného textu Char"/>
    <w:basedOn w:val="Predvolenpsmoodseku"/>
    <w:link w:val="Zarkazkladnhotextu"/>
    <w:uiPriority w:val="99"/>
    <w:rsid w:val="0005522A"/>
    <w:rPr>
      <w:rFonts w:ascii="Times New Roman" w:eastAsia="Calibri" w:hAnsi="Times New Roman" w:cs="Times New Roman"/>
      <w:sz w:val="24"/>
    </w:rPr>
  </w:style>
  <w:style w:type="paragraph" w:customStyle="1" w:styleId="Nadpis2b">
    <w:name w:val="Nadpis 2b"/>
    <w:basedOn w:val="Pta"/>
    <w:qFormat/>
    <w:rsid w:val="0005522A"/>
    <w:pPr>
      <w:numPr>
        <w:numId w:val="3"/>
      </w:numPr>
      <w:spacing w:before="240"/>
    </w:pPr>
  </w:style>
  <w:style w:type="paragraph" w:customStyle="1" w:styleId="BSWWSekcjapodpisw">
    <w:name w:val="BSWW Sekcja podpisów"/>
    <w:basedOn w:val="Nzov"/>
    <w:qFormat/>
    <w:rsid w:val="00FE3A45"/>
    <w:pPr>
      <w:spacing w:before="120" w:after="120" w:line="264" w:lineRule="auto"/>
      <w:contextualSpacing w:val="0"/>
      <w:jc w:val="center"/>
    </w:pPr>
    <w:rPr>
      <w:rFonts w:ascii="Arial" w:eastAsia="Calibri" w:hAnsi="Arial" w:cs="Times New Roman"/>
      <w:b/>
      <w:spacing w:val="0"/>
      <w:kern w:val="0"/>
      <w:sz w:val="26"/>
      <w:szCs w:val="28"/>
    </w:rPr>
  </w:style>
  <w:style w:type="character" w:styleId="Hypertextovprepojenie">
    <w:name w:val="Hyperlink"/>
    <w:uiPriority w:val="99"/>
    <w:unhideWhenUsed/>
    <w:rsid w:val="00FE3A45"/>
    <w:rPr>
      <w:color w:val="0000FF"/>
      <w:u w:val="single"/>
    </w:rPr>
  </w:style>
  <w:style w:type="paragraph" w:styleId="Nzov">
    <w:name w:val="Title"/>
    <w:basedOn w:val="Normlny"/>
    <w:next w:val="Normlny"/>
    <w:link w:val="NzovChar"/>
    <w:uiPriority w:val="10"/>
    <w:qFormat/>
    <w:rsid w:val="00FE3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E3A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protection.gov.sk/uoou/dp/dp-breach"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1170</Words>
  <Characters>6670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dc:creator>
  <cp:keywords/>
  <dc:description/>
  <cp:lastModifiedBy>Kornelia</cp:lastModifiedBy>
  <cp:revision>2</cp:revision>
  <dcterms:created xsi:type="dcterms:W3CDTF">2018-06-11T18:03:00Z</dcterms:created>
  <dcterms:modified xsi:type="dcterms:W3CDTF">2018-06-12T14:32:00Z</dcterms:modified>
</cp:coreProperties>
</file>