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3" w:rsidRDefault="00367A93" w:rsidP="000E502A">
      <w:r>
        <w:rPr>
          <w:sz w:val="32"/>
          <w:szCs w:val="32"/>
        </w:rPr>
        <w:t>Informačná povinnosť v</w:t>
      </w:r>
      <w:r w:rsidRPr="00367A93">
        <w:rPr>
          <w:sz w:val="32"/>
          <w:szCs w:val="32"/>
        </w:rPr>
        <w:t>oči dotknutej osobe</w:t>
      </w:r>
      <w:r>
        <w:t>.</w:t>
      </w:r>
    </w:p>
    <w:p w:rsidR="000E502A" w:rsidRPr="000E502A" w:rsidRDefault="000E502A" w:rsidP="000E502A">
      <w:pPr>
        <w:pStyle w:val="Nadpis2"/>
      </w:pPr>
      <w:r w:rsidRPr="008B1EA8">
        <w:t>Informácie, ktoré sa majú poskytovať pri získavaní osobných údajov od dotknutej osoby</w:t>
      </w:r>
      <w:r>
        <w:t xml:space="preserve"> (článok 13 GDPR)</w:t>
      </w:r>
    </w:p>
    <w:p w:rsidR="000E502A" w:rsidRDefault="000E502A" w:rsidP="000E502A">
      <w:pPr>
        <w:pStyle w:val="Zarkazkladnhotextu"/>
        <w:ind w:left="0"/>
        <w:rPr>
          <w:lang w:eastAsia="sk-SK"/>
        </w:rPr>
      </w:pPr>
    </w:p>
    <w:p w:rsidR="000E502A" w:rsidRDefault="000E502A" w:rsidP="000E502A">
      <w:pPr>
        <w:pStyle w:val="Zarkazkladnhotextu"/>
        <w:ind w:left="0"/>
        <w:rPr>
          <w:lang w:eastAsia="sk-SK"/>
        </w:rPr>
      </w:pPr>
      <w:r>
        <w:rPr>
          <w:lang w:eastAsia="sk-SK"/>
        </w:rPr>
        <w:t>Naša spoločnosť poskytne dotknutej osobe pri spracúvaní osobných údajov nasledovné informácie:</w:t>
      </w:r>
    </w:p>
    <w:p w:rsidR="000E502A" w:rsidRDefault="000E502A" w:rsidP="000E502A">
      <w:pPr>
        <w:pStyle w:val="Odsekzoznamu"/>
        <w:numPr>
          <w:ilvl w:val="0"/>
          <w:numId w:val="3"/>
        </w:numPr>
        <w:rPr>
          <w:lang w:eastAsia="sk-SK"/>
        </w:rPr>
      </w:pPr>
      <w:r>
        <w:t>údaje</w:t>
      </w:r>
      <w:r>
        <w:rPr>
          <w:lang w:eastAsia="sk-SK"/>
        </w:rPr>
        <w:t xml:space="preserve"> o našej spoločnosti</w:t>
      </w:r>
    </w:p>
    <w:p w:rsidR="000E502A" w:rsidRDefault="000E502A" w:rsidP="000E502A">
      <w:pPr>
        <w:pStyle w:val="Odsekzoznamu"/>
        <w:numPr>
          <w:ilvl w:val="0"/>
          <w:numId w:val="3"/>
        </w:numPr>
        <w:rPr>
          <w:lang w:eastAsia="sk-SK"/>
        </w:rPr>
      </w:pPr>
      <w:r>
        <w:t>kontaktné</w:t>
      </w:r>
      <w:r>
        <w:rPr>
          <w:lang w:eastAsia="sk-SK"/>
        </w:rPr>
        <w:t xml:space="preserve"> údaje prípadnej zodpovednej osoby;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účely spracúvania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právny základ spracúvania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ak sa spracúvanie zakladá na článku 6 ods. 1 písm. f) GDPR, oprávnené záujmy, ktoré sleduje prevádzkovateľ alebo tretia strana;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príjemcovia alebo kategórie príjemcov osobných údajov, ak existujú;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v relevantnom prípade informácia o tom, že naša spoločnosť zamýšľa preniesť osobné údaje do tretej krajiny alebo medzinárodnej organizácii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doba uchovávania osobných údajov alebo, ak to nie je možné, kritériá na jej určenie;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existencia práva požadovať od prevádzkovateľa prístup k osobným údajom týkajúcim sa dotknutej osoby a práva na ich opravu alebo vymazanie alebo obmedzenie spracúvania, alebo práva namietať proti spracúvaniu, ako aj práva na prenosnosť údajov;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ak je spracúvanie založené na článku 6 ods. 1 písm. a) alebo na článku 9 ods. 2 písm. a) GDPR, existencia práva kedykoľvek svoj súhlas odvolať bez toho, aby to malo vplyv na zákonnosť spracúvania založeného na súhlase udelenom pred jeho odvolaním;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právo podať sťažnosť dozornému orgánu;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informácia o tom, či je poskytovanie osobných údajov zákonnou alebo zmluvnou požiadavkou, alebo požiadavkou, ktorá je potrebná na uzavretie zmluvy, či je dotknutá osoba povinná poskytnúť osobné údaje, ako aj možné následky neposkytnutia takýchto údajov;</w:t>
      </w:r>
    </w:p>
    <w:p w:rsidR="000E502A" w:rsidRDefault="000E502A" w:rsidP="000E502A">
      <w:pPr>
        <w:pStyle w:val="Odsekzoznamu"/>
        <w:numPr>
          <w:ilvl w:val="0"/>
          <w:numId w:val="3"/>
        </w:numPr>
      </w:pPr>
      <w:r>
        <w:t>existencia automatizovaného rozhodovania vrátane profilovania uvedeného v článku 22 ods. 1 a 4 GDPR a aspoň v týchto prípadoch zmysluplné informácie o použitom postupe, ako aj význame a predpokladaných dôsledkoch takéhoto spracúvania pre dotknutú osobu.</w:t>
      </w:r>
    </w:p>
    <w:p w:rsidR="000E502A" w:rsidRDefault="000E502A" w:rsidP="000E502A">
      <w:pPr>
        <w:pStyle w:val="Nadpis2"/>
      </w:pPr>
      <w:r w:rsidRPr="00E02C44">
        <w:t>Informácie, ktoré sa majú poskytnúť, ak osobné údaje neboli získané od dotknutej osoby</w:t>
      </w:r>
      <w:r>
        <w:t xml:space="preserve"> (článok 14 GDPR)</w:t>
      </w:r>
    </w:p>
    <w:p w:rsidR="000E502A" w:rsidRDefault="000E502A" w:rsidP="000E502A">
      <w:pPr>
        <w:pStyle w:val="Zarkazkladnhotextu"/>
        <w:ind w:left="0"/>
        <w:rPr>
          <w:lang w:eastAsia="sk-SK"/>
        </w:rPr>
      </w:pPr>
      <w:r>
        <w:rPr>
          <w:lang w:eastAsia="sk-SK"/>
        </w:rPr>
        <w:t>Naša spoločnosť poskytne dotknutej osobe, ak tieto osobné údaje neboli získané od nej, nasledovné informácie:</w:t>
      </w:r>
    </w:p>
    <w:p w:rsidR="000E502A" w:rsidRDefault="000E502A" w:rsidP="000E502A">
      <w:pPr>
        <w:pStyle w:val="Odsekzoznamu"/>
        <w:numPr>
          <w:ilvl w:val="0"/>
          <w:numId w:val="6"/>
        </w:numPr>
        <w:rPr>
          <w:lang w:eastAsia="sk-SK"/>
        </w:rPr>
      </w:pPr>
      <w:r>
        <w:t>údaje</w:t>
      </w:r>
      <w:r>
        <w:rPr>
          <w:lang w:eastAsia="sk-SK"/>
        </w:rPr>
        <w:t xml:space="preserve"> o našej spoločnosti</w:t>
      </w:r>
    </w:p>
    <w:p w:rsidR="000E502A" w:rsidRDefault="000E502A" w:rsidP="000E502A">
      <w:pPr>
        <w:pStyle w:val="Odsekzoznamu"/>
        <w:numPr>
          <w:ilvl w:val="0"/>
          <w:numId w:val="6"/>
        </w:numPr>
        <w:rPr>
          <w:lang w:eastAsia="sk-SK"/>
        </w:rPr>
      </w:pPr>
      <w:r>
        <w:t>kontaktné</w:t>
      </w:r>
      <w:r>
        <w:rPr>
          <w:lang w:eastAsia="sk-SK"/>
        </w:rPr>
        <w:t xml:space="preserve"> údaje prípadnej zodpovednej osoby;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účely spracúvania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právny základ spracúvania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ak sa spracúvanie zakladá na článku 6 ods. 1 písm. f) GDPR, oprávnené záujmy, ktoré sleduje prevádzkovateľ alebo tretia strana;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lastRenderedPageBreak/>
        <w:t>príjemcovia alebo kategórie príjemcov osobných údajov, ak existujú;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v relevantnom prípade informácia o tom, že naša spoločnosť zamýšľa preniesť osobné údaje do tretej krajiny alebo medzinárodnej organizácii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doba uchovávania osobných údajov alebo, ak to nie je možné, kritériá na jej určenie;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existencia práva požadovať od prevádzkovateľa prístup k osobným údajom týkajúcim sa dotknutej osoby a práva na ich opravu alebo vymazanie alebo obmedzenie spracúvania, alebo práva namietať proti spracúvaniu, ako aj práva na prenosnosť údajov;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ak je spracúvanie založené na článku 6 ods. 1 písm. a) alebo na článku 9 ods. 2 písm. a) GDPR, existencia práva kedykoľvek svoj súhlas odvolať bez toho, aby to malo vplyv na zákonnosť spracúvania založeného na súhlase udelenom pred jeho odvolaním;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právo podať sťažnosť dozornému orgánu;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informácia o tom, či je poskytovanie osobných údajov zákonnou alebo zmluvnou požiadavkou, alebo požiadavkou, ktorá je potrebná na uzavretie zmluvy, či je dotknutá osoba povinná poskytnúť osobné údaje, ako aj možné následky neposkytnutia takýchto údajov;</w:t>
      </w:r>
    </w:p>
    <w:p w:rsidR="000E502A" w:rsidRDefault="000E502A" w:rsidP="000E502A">
      <w:pPr>
        <w:pStyle w:val="Odsekzoznamu"/>
        <w:numPr>
          <w:ilvl w:val="0"/>
          <w:numId w:val="6"/>
        </w:numPr>
      </w:pPr>
      <w:r>
        <w:t>existencia automatizovaného rozhodovania vrátane profilovania uvedeného v článku 22 ods. 1 a 4 GDPR a aspoň v týchto prípadoch zmysluplné informácie o použitom postupe, ako aj význame a predpokladaných dôsledkoch takéhoto spracúvania pre dotknutú osobu.</w:t>
      </w:r>
    </w:p>
    <w:p w:rsidR="000E502A" w:rsidRDefault="000E502A" w:rsidP="000E502A">
      <w:pPr>
        <w:pStyle w:val="Zarkazkladnhotextu"/>
        <w:ind w:left="0"/>
        <w:rPr>
          <w:lang w:eastAsia="sk-SK"/>
        </w:rPr>
      </w:pPr>
      <w:r>
        <w:t xml:space="preserve"> a </w:t>
      </w:r>
      <w:r>
        <w:rPr>
          <w:lang w:eastAsia="sk-SK"/>
        </w:rPr>
        <w:t xml:space="preserve">tiež </w:t>
      </w:r>
      <w:r w:rsidRPr="00E02C44">
        <w:rPr>
          <w:lang w:eastAsia="sk-SK"/>
        </w:rPr>
        <w:t>z akého zdroja pochádzajú osobné údaje, prípadne informácie o tom, či údaje pochádzaj</w:t>
      </w:r>
      <w:r>
        <w:rPr>
          <w:lang w:eastAsia="sk-SK"/>
        </w:rPr>
        <w:t>ú z verejne prístupných zdrojov.</w:t>
      </w:r>
    </w:p>
    <w:p w:rsidR="000E502A" w:rsidRDefault="000E502A" w:rsidP="000E502A">
      <w:pPr>
        <w:pStyle w:val="Zarkazkladnhotextu"/>
        <w:ind w:left="0"/>
        <w:rPr>
          <w:lang w:eastAsia="sk-SK"/>
        </w:rPr>
      </w:pPr>
      <w:r>
        <w:rPr>
          <w:lang w:eastAsia="sk-SK"/>
        </w:rPr>
        <w:t>Tieto informácie poskytne naša spoločnosť dotknutej osobe v primeranej lehote po získaní osobných údajov, najneskôr však do jedného mesiaca, pričom zohľadní konkrétne okolnosti, za ktorých sa osobné údaje spracúvajú uvedené v článku 14 ods. 3 GDPR</w:t>
      </w:r>
    </w:p>
    <w:p w:rsidR="000E502A" w:rsidRDefault="000E502A" w:rsidP="000E502A">
      <w:pPr>
        <w:pStyle w:val="Zarkazkladnhotextu"/>
        <w:ind w:left="0"/>
        <w:rPr>
          <w:lang w:eastAsia="sk-SK"/>
        </w:rPr>
      </w:pPr>
      <w:r>
        <w:rPr>
          <w:lang w:eastAsia="sk-SK"/>
        </w:rPr>
        <w:t>Naša spoločnosť neposkytne dotknutej osobe tieto informácie v prípadoch uvedených v článku 14 ods. 5 GDPR, najmä ak:</w:t>
      </w:r>
    </w:p>
    <w:p w:rsidR="000E502A" w:rsidRDefault="000E502A" w:rsidP="000E502A">
      <w:pPr>
        <w:pStyle w:val="Odsekzoznamu"/>
        <w:numPr>
          <w:ilvl w:val="0"/>
          <w:numId w:val="4"/>
        </w:numPr>
        <w:rPr>
          <w:lang w:eastAsia="sk-SK"/>
        </w:rPr>
      </w:pPr>
      <w:r w:rsidRPr="009C3FBF">
        <w:rPr>
          <w:lang w:eastAsia="sk-SK"/>
        </w:rPr>
        <w:t>dotkn</w:t>
      </w:r>
      <w:r>
        <w:rPr>
          <w:lang w:eastAsia="sk-SK"/>
        </w:rPr>
        <w:t>utá osoba má už dané informácie</w:t>
      </w:r>
    </w:p>
    <w:p w:rsidR="000E502A" w:rsidRDefault="000E502A" w:rsidP="000E502A">
      <w:pPr>
        <w:pStyle w:val="Odsekzoznamu"/>
        <w:numPr>
          <w:ilvl w:val="0"/>
          <w:numId w:val="4"/>
        </w:numPr>
        <w:rPr>
          <w:lang w:eastAsia="sk-SK"/>
        </w:rPr>
      </w:pPr>
      <w:r w:rsidRPr="00E02C44">
        <w:t>sa</w:t>
      </w:r>
      <w:r w:rsidRPr="00E02C44">
        <w:rPr>
          <w:lang w:eastAsia="sk-SK"/>
        </w:rPr>
        <w:t xml:space="preserve"> poskytovanie takýchto informácií ukáže ako nemožné alebo by si vyžadovalo neprimerané úsilie</w:t>
      </w:r>
    </w:p>
    <w:p w:rsidR="000E502A" w:rsidRDefault="000E502A" w:rsidP="000E502A">
      <w:pPr>
        <w:pStyle w:val="Odsekzoznamu"/>
        <w:numPr>
          <w:ilvl w:val="0"/>
          <w:numId w:val="4"/>
        </w:numPr>
        <w:rPr>
          <w:lang w:eastAsia="sk-SK"/>
        </w:rPr>
      </w:pPr>
      <w:r w:rsidRPr="00E02C44">
        <w:rPr>
          <w:lang w:eastAsia="sk-SK"/>
        </w:rPr>
        <w:t>sa získanie alebo poskytnutie výslovne stanovuje v práve Únie alebo v práve členského štátu, ktorému prevádzkovateľ podlieha, a v ktorom sa stanovujú primerané opatrenia na ochranu oprávnených záujmov dotknutej osoby</w:t>
      </w:r>
      <w:r>
        <w:rPr>
          <w:lang w:eastAsia="sk-SK"/>
        </w:rPr>
        <w:t xml:space="preserve"> .</w:t>
      </w:r>
    </w:p>
    <w:p w:rsidR="000C17CC" w:rsidRDefault="001C4B01" w:rsidP="001C5650">
      <w:pPr>
        <w:pStyle w:val="Nadpis2"/>
      </w:pPr>
      <w:r>
        <w:t>Mlčanlivosť.</w:t>
      </w:r>
    </w:p>
    <w:p w:rsidR="001C4B01" w:rsidRPr="00596F84" w:rsidRDefault="001C4B01" w:rsidP="001C4B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Naša spoločnosť</w:t>
      </w:r>
      <w:r w:rsidRPr="00596F84">
        <w:rPr>
          <w:color w:val="000000"/>
          <w:shd w:val="clear" w:color="auto" w:fill="FFFFFF"/>
        </w:rPr>
        <w:t xml:space="preserve"> je povinn</w:t>
      </w:r>
      <w:r>
        <w:rPr>
          <w:color w:val="000000"/>
          <w:shd w:val="clear" w:color="auto" w:fill="FFFFFF"/>
        </w:rPr>
        <w:t>á</w:t>
      </w:r>
      <w:r w:rsidRPr="00596F84">
        <w:rPr>
          <w:color w:val="000000"/>
          <w:shd w:val="clear" w:color="auto" w:fill="FFFFFF"/>
        </w:rPr>
        <w:t xml:space="preserve"> zachovávať mlčanlivosť o osobných údajoch, ktoré spracúva. Povinnosť mlčanlivosti trvá aj po ukončení spracúvania osobných údajov.</w:t>
      </w:r>
    </w:p>
    <w:p w:rsidR="00656833" w:rsidRDefault="001C4B01">
      <w:r>
        <w:rPr>
          <w:color w:val="000000"/>
          <w:shd w:val="clear" w:color="auto" w:fill="FFFFFF"/>
        </w:rPr>
        <w:t>Naša spoločnosť je tiež povinná</w:t>
      </w:r>
      <w:r w:rsidRPr="00596F84">
        <w:rPr>
          <w:color w:val="000000"/>
          <w:shd w:val="clear" w:color="auto" w:fill="FFFFFF"/>
        </w:rPr>
        <w:t xml:space="preserve"> zaviazať mlčanlivosťou o osobných údajoch fyzické osoby, ktoré prídu do styku s osobnými údajmi u prevádzkovateľa alebo sprostredkovateľa. Povinnosť mlčanlivosti podľa prvej vety musí trvať aj po skončení pracovného pomeru, štátnozamestnaneckého pomeru, služobného pomeru alebo obdobného pracovné</w:t>
      </w:r>
      <w:r>
        <w:rPr>
          <w:color w:val="000000"/>
          <w:shd w:val="clear" w:color="auto" w:fill="FFFFFF"/>
        </w:rPr>
        <w:t>ho vzťahu tejto fyzickej osoby.</w:t>
      </w:r>
      <w:bookmarkStart w:id="0" w:name="_GoBack"/>
      <w:bookmarkEnd w:id="0"/>
      <w:r w:rsidR="00656833">
        <w:t xml:space="preserve">                </w:t>
      </w:r>
    </w:p>
    <w:p w:rsidR="00656833" w:rsidRDefault="00656833"/>
    <w:sectPr w:rsidR="00656833" w:rsidSect="00B05D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6C"/>
    <w:multiLevelType w:val="hybridMultilevel"/>
    <w:tmpl w:val="350EB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17E"/>
    <w:multiLevelType w:val="hybridMultilevel"/>
    <w:tmpl w:val="350EB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561A"/>
    <w:multiLevelType w:val="hybridMultilevel"/>
    <w:tmpl w:val="350EB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0DC2"/>
    <w:multiLevelType w:val="hybridMultilevel"/>
    <w:tmpl w:val="ECEEF4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61973"/>
    <w:multiLevelType w:val="hybridMultilevel"/>
    <w:tmpl w:val="7E806722"/>
    <w:lvl w:ilvl="0" w:tplc="3BB89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942C78"/>
    <w:multiLevelType w:val="multilevel"/>
    <w:tmpl w:val="5A04A818"/>
    <w:lvl w:ilvl="0">
      <w:start w:val="1"/>
      <w:numFmt w:val="decimal"/>
      <w:pStyle w:val="Nadpis1"/>
      <w:lvlText w:val="%1."/>
      <w:lvlJc w:val="left"/>
      <w:pPr>
        <w:tabs>
          <w:tab w:val="num" w:pos="3118"/>
        </w:tabs>
        <w:ind w:left="3118" w:hanging="567"/>
      </w:pPr>
      <w:rPr>
        <w:rFonts w:hint="default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sz w:val="28"/>
      </w:rPr>
    </w:lvl>
    <w:lvl w:ilvl="2">
      <w:start w:val="1"/>
      <w:numFmt w:val="decimal"/>
      <w:pStyle w:val="odsek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Pta"/>
      <w:suff w:val="space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2A"/>
    <w:rsid w:val="000C17CC"/>
    <w:rsid w:val="000E502A"/>
    <w:rsid w:val="001C4B01"/>
    <w:rsid w:val="001C5650"/>
    <w:rsid w:val="00367A93"/>
    <w:rsid w:val="00593B4F"/>
    <w:rsid w:val="00656833"/>
    <w:rsid w:val="00B0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02A"/>
    <w:pPr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Zarkazkladnhotextu"/>
    <w:link w:val="Nadpis1Char"/>
    <w:uiPriority w:val="99"/>
    <w:qFormat/>
    <w:rsid w:val="000E502A"/>
    <w:pPr>
      <w:keepNext/>
      <w:numPr>
        <w:numId w:val="1"/>
      </w:numPr>
      <w:tabs>
        <w:tab w:val="clear" w:pos="3118"/>
        <w:tab w:val="num" w:pos="567"/>
      </w:tabs>
      <w:spacing w:before="480" w:after="360" w:line="276" w:lineRule="auto"/>
      <w:ind w:left="567"/>
      <w:outlineLvl w:val="0"/>
    </w:pPr>
    <w:rPr>
      <w:rFonts w:eastAsia="Times New Roman"/>
      <w:b/>
      <w:caps/>
      <w:sz w:val="28"/>
      <w:szCs w:val="20"/>
      <w:lang w:eastAsia="sk-SK"/>
    </w:rPr>
  </w:style>
  <w:style w:type="paragraph" w:styleId="Nadpis2">
    <w:name w:val="heading 2"/>
    <w:basedOn w:val="Normlny"/>
    <w:next w:val="Zarkazkladnhotextu"/>
    <w:link w:val="Nadpis2Char"/>
    <w:uiPriority w:val="99"/>
    <w:qFormat/>
    <w:rsid w:val="000E502A"/>
    <w:pPr>
      <w:keepNext/>
      <w:numPr>
        <w:ilvl w:val="1"/>
        <w:numId w:val="1"/>
      </w:numPr>
      <w:tabs>
        <w:tab w:val="clear" w:pos="567"/>
        <w:tab w:val="left" w:pos="0"/>
      </w:tabs>
      <w:spacing w:before="240" w:after="240" w:line="276" w:lineRule="auto"/>
      <w:ind w:left="0" w:firstLine="0"/>
      <w:outlineLvl w:val="1"/>
    </w:pPr>
    <w:rPr>
      <w:rFonts w:eastAsia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E502A"/>
    <w:rPr>
      <w:rFonts w:ascii="Times New Roman" w:eastAsia="Times New Roman" w:hAnsi="Times New Roman" w:cs="Times New Roman"/>
      <w:b/>
      <w:caps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0E502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rsid w:val="000E502A"/>
    <w:pPr>
      <w:ind w:left="720"/>
      <w:contextualSpacing/>
    </w:pPr>
  </w:style>
  <w:style w:type="paragraph" w:styleId="Pta">
    <w:name w:val="footer"/>
    <w:basedOn w:val="Normlny"/>
    <w:link w:val="PtaChar"/>
    <w:rsid w:val="000E502A"/>
    <w:pPr>
      <w:numPr>
        <w:ilvl w:val="3"/>
        <w:numId w:val="1"/>
      </w:numPr>
      <w:tabs>
        <w:tab w:val="center" w:pos="4153"/>
        <w:tab w:val="right" w:pos="8306"/>
      </w:tabs>
      <w:spacing w:before="60" w:after="120" w:line="276" w:lineRule="auto"/>
    </w:pPr>
    <w:rPr>
      <w:rFonts w:eastAsia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0E502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">
    <w:name w:val="odsek"/>
    <w:basedOn w:val="Normlny"/>
    <w:next w:val="Zarkazkladnhotextu"/>
    <w:rsid w:val="000E502A"/>
    <w:pPr>
      <w:numPr>
        <w:ilvl w:val="2"/>
        <w:numId w:val="1"/>
      </w:numPr>
      <w:spacing w:before="60" w:after="120" w:line="276" w:lineRule="auto"/>
    </w:pPr>
    <w:rPr>
      <w:rFonts w:eastAsia="Times New Roman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E502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E502A"/>
    <w:rPr>
      <w:rFonts w:ascii="Times New Roman" w:eastAsia="Calibri" w:hAnsi="Times New Roman" w:cs="Times New Roman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367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riadkovania">
    <w:name w:val="No Spacing"/>
    <w:uiPriority w:val="1"/>
    <w:qFormat/>
    <w:rsid w:val="00593B4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502A"/>
    <w:pPr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Zarkazkladnhotextu"/>
    <w:link w:val="Nadpis1Char"/>
    <w:uiPriority w:val="99"/>
    <w:qFormat/>
    <w:rsid w:val="000E502A"/>
    <w:pPr>
      <w:keepNext/>
      <w:numPr>
        <w:numId w:val="1"/>
      </w:numPr>
      <w:tabs>
        <w:tab w:val="clear" w:pos="3118"/>
        <w:tab w:val="num" w:pos="567"/>
      </w:tabs>
      <w:spacing w:before="480" w:after="360" w:line="276" w:lineRule="auto"/>
      <w:ind w:left="567"/>
      <w:outlineLvl w:val="0"/>
    </w:pPr>
    <w:rPr>
      <w:rFonts w:eastAsia="Times New Roman"/>
      <w:b/>
      <w:caps/>
      <w:sz w:val="28"/>
      <w:szCs w:val="20"/>
      <w:lang w:eastAsia="sk-SK"/>
    </w:rPr>
  </w:style>
  <w:style w:type="paragraph" w:styleId="Nadpis2">
    <w:name w:val="heading 2"/>
    <w:basedOn w:val="Normlny"/>
    <w:next w:val="Zarkazkladnhotextu"/>
    <w:link w:val="Nadpis2Char"/>
    <w:uiPriority w:val="99"/>
    <w:qFormat/>
    <w:rsid w:val="000E502A"/>
    <w:pPr>
      <w:keepNext/>
      <w:numPr>
        <w:ilvl w:val="1"/>
        <w:numId w:val="1"/>
      </w:numPr>
      <w:tabs>
        <w:tab w:val="clear" w:pos="567"/>
        <w:tab w:val="left" w:pos="0"/>
      </w:tabs>
      <w:spacing w:before="240" w:after="240" w:line="276" w:lineRule="auto"/>
      <w:ind w:left="0" w:firstLine="0"/>
      <w:outlineLvl w:val="1"/>
    </w:pPr>
    <w:rPr>
      <w:rFonts w:eastAsia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E502A"/>
    <w:rPr>
      <w:rFonts w:ascii="Times New Roman" w:eastAsia="Times New Roman" w:hAnsi="Times New Roman" w:cs="Times New Roman"/>
      <w:b/>
      <w:caps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0E502A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rsid w:val="000E502A"/>
    <w:pPr>
      <w:ind w:left="720"/>
      <w:contextualSpacing/>
    </w:pPr>
  </w:style>
  <w:style w:type="paragraph" w:styleId="Pta">
    <w:name w:val="footer"/>
    <w:basedOn w:val="Normlny"/>
    <w:link w:val="PtaChar"/>
    <w:rsid w:val="000E502A"/>
    <w:pPr>
      <w:numPr>
        <w:ilvl w:val="3"/>
        <w:numId w:val="1"/>
      </w:numPr>
      <w:tabs>
        <w:tab w:val="center" w:pos="4153"/>
        <w:tab w:val="right" w:pos="8306"/>
      </w:tabs>
      <w:spacing w:before="60" w:after="120" w:line="276" w:lineRule="auto"/>
    </w:pPr>
    <w:rPr>
      <w:rFonts w:eastAsia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0E502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">
    <w:name w:val="odsek"/>
    <w:basedOn w:val="Normlny"/>
    <w:next w:val="Zarkazkladnhotextu"/>
    <w:rsid w:val="000E502A"/>
    <w:pPr>
      <w:numPr>
        <w:ilvl w:val="2"/>
        <w:numId w:val="1"/>
      </w:numPr>
      <w:spacing w:before="60" w:after="120" w:line="276" w:lineRule="auto"/>
    </w:pPr>
    <w:rPr>
      <w:rFonts w:eastAsia="Times New Roman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E502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E502A"/>
    <w:rPr>
      <w:rFonts w:ascii="Times New Roman" w:eastAsia="Calibri" w:hAnsi="Times New Roman" w:cs="Times New Roman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367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67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riadkovania">
    <w:name w:val="No Spacing"/>
    <w:uiPriority w:val="1"/>
    <w:qFormat/>
    <w:rsid w:val="00593B4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Marek Šubrt</cp:lastModifiedBy>
  <cp:revision>2</cp:revision>
  <cp:lastPrinted>2018-06-12T17:48:00Z</cp:lastPrinted>
  <dcterms:created xsi:type="dcterms:W3CDTF">2018-06-12T17:48:00Z</dcterms:created>
  <dcterms:modified xsi:type="dcterms:W3CDTF">2018-06-12T17:48:00Z</dcterms:modified>
</cp:coreProperties>
</file>